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3575" w:type="dxa"/>
        <w:jc w:val="center"/>
        <w:tblCellSpacing w:w="0" w:type="dxa"/>
        <w:tblInd w:w="-1959" w:type="dxa"/>
        <w:shd w:val="clear" w:color="auto" w:fill="FFFFFF"/>
        <w:tblLayout w:type="fixed"/>
        <w:tblCellMar>
          <w:top w:w="0" w:type="dxa"/>
          <w:left w:w="675" w:type="dxa"/>
          <w:bottom w:w="0" w:type="dxa"/>
          <w:right w:w="675" w:type="dxa"/>
        </w:tblCellMar>
      </w:tblPr>
      <w:tblGrid>
        <w:gridCol w:w="13575"/>
      </w:tblGrid>
      <w:tr>
        <w:tblPrEx>
          <w:shd w:val="clear" w:color="auto" w:fill="FFFFFF"/>
          <w:tblLayout w:type="fixed"/>
          <w:tblCellMar>
            <w:top w:w="0" w:type="dxa"/>
            <w:left w:w="675" w:type="dxa"/>
            <w:bottom w:w="0" w:type="dxa"/>
            <w:right w:w="675" w:type="dxa"/>
          </w:tblCellMar>
        </w:tblPrEx>
        <w:trPr>
          <w:trHeight w:val="1200" w:hRule="atLeast"/>
          <w:tblCellSpacing w:w="0" w:type="dxa"/>
          <w:jc w:val="center"/>
        </w:trPr>
        <w:tc>
          <w:tcPr>
            <w:tcW w:w="13575" w:type="dxa"/>
            <w:shd w:val="clear" w:color="auto" w:fill="FFFFFF"/>
            <w:vAlign w:val="center"/>
          </w:tcPr>
          <w:p>
            <w:pPr>
              <w:keepNext w:val="0"/>
              <w:keepLines w:val="0"/>
              <w:widowControl/>
              <w:suppressLineNumbers w:val="0"/>
              <w:jc w:val="center"/>
              <w:rPr>
                <w:rFonts w:hint="eastAsia" w:ascii="宋体" w:hAnsi="宋体" w:eastAsia="宋体" w:cs="宋体"/>
                <w:sz w:val="18"/>
                <w:szCs w:val="18"/>
              </w:rPr>
            </w:pPr>
            <w:bookmarkStart w:id="0" w:name="_GoBack"/>
            <w:r>
              <w:rPr>
                <w:rStyle w:val="4"/>
                <w:rFonts w:hint="eastAsia" w:ascii="宋体" w:hAnsi="宋体" w:eastAsia="宋体" w:cs="宋体"/>
                <w:color w:val="BA0707"/>
                <w:kern w:val="0"/>
                <w:sz w:val="24"/>
                <w:szCs w:val="24"/>
                <w:bdr w:val="none" w:color="auto" w:sz="0" w:space="0"/>
                <w:lang w:val="en-US" w:eastAsia="zh-CN" w:bidi="ar"/>
              </w:rPr>
              <w:t>大厂回族自治县人民检察院2015年度部门概况及决算说明</w:t>
            </w:r>
            <w:bookmarkEnd w:id="0"/>
          </w:p>
        </w:tc>
      </w:tr>
      <w:tr>
        <w:tblPrEx>
          <w:shd w:val="clear" w:color="auto" w:fill="FFFFFF"/>
          <w:tblLayout w:type="fixed"/>
          <w:tblCellMar>
            <w:top w:w="0" w:type="dxa"/>
            <w:left w:w="675" w:type="dxa"/>
            <w:bottom w:w="0" w:type="dxa"/>
            <w:right w:w="675" w:type="dxa"/>
          </w:tblCellMar>
        </w:tblPrEx>
        <w:trPr>
          <w:trHeight w:val="75" w:hRule="atLeast"/>
          <w:tblCellSpacing w:w="0" w:type="dxa"/>
          <w:jc w:val="center"/>
        </w:trPr>
        <w:tc>
          <w:tcPr>
            <w:tcW w:w="13575" w:type="dxa"/>
            <w:shd w:val="clear" w:color="auto" w:fill="FFFFFF"/>
            <w:vAlign w:val="center"/>
          </w:tcPr>
          <w:p>
            <w:pPr>
              <w:jc w:val="center"/>
              <w:rPr>
                <w:rFonts w:hint="eastAsia" w:ascii="宋体" w:hAnsi="宋体" w:eastAsia="宋体" w:cs="宋体"/>
                <w:color w:val="212121"/>
                <w:sz w:val="18"/>
                <w:szCs w:val="18"/>
              </w:rPr>
            </w:pPr>
          </w:p>
        </w:tc>
      </w:tr>
      <w:tr>
        <w:tblPrEx>
          <w:shd w:val="clear" w:color="auto" w:fill="FFFFFF"/>
          <w:tblLayout w:type="fixed"/>
          <w:tblCellMar>
            <w:top w:w="0" w:type="dxa"/>
            <w:left w:w="675" w:type="dxa"/>
            <w:bottom w:w="0" w:type="dxa"/>
            <w:right w:w="675" w:type="dxa"/>
          </w:tblCellMar>
        </w:tblPrEx>
        <w:trPr>
          <w:tblCellSpacing w:w="0" w:type="dxa"/>
          <w:jc w:val="center"/>
        </w:trPr>
        <w:tc>
          <w:tcPr>
            <w:tcW w:w="13575" w:type="dxa"/>
            <w:shd w:val="clear" w:color="auto" w:fill="FFFFFF"/>
            <w:vAlign w:val="center"/>
          </w:tcPr>
          <w:tbl>
            <w:tblPr>
              <w:tblW w:w="12225" w:type="dxa"/>
              <w:jc w:val="center"/>
              <w:tblCellSpacing w:w="0" w:type="dxa"/>
              <w:tblInd w:w="0" w:type="dxa"/>
              <w:shd w:val="clear"/>
              <w:tblLayout w:type="fixed"/>
              <w:tblCellMar>
                <w:top w:w="0" w:type="dxa"/>
                <w:left w:w="0" w:type="dxa"/>
                <w:bottom w:w="0" w:type="dxa"/>
                <w:right w:w="0" w:type="dxa"/>
              </w:tblCellMar>
            </w:tblPr>
            <w:tblGrid>
              <w:gridCol w:w="12225"/>
            </w:tblGrid>
            <w:tr>
              <w:tblPrEx>
                <w:shd w:val="clear"/>
                <w:tblLayout w:type="fixed"/>
                <w:tblCellMar>
                  <w:top w:w="0" w:type="dxa"/>
                  <w:left w:w="0" w:type="dxa"/>
                  <w:bottom w:w="0" w:type="dxa"/>
                  <w:right w:w="0" w:type="dxa"/>
                </w:tblCellMar>
              </w:tblPrEx>
              <w:trPr>
                <w:trHeight w:val="75" w:hRule="atLeast"/>
                <w:tblCellSpacing w:w="0" w:type="dxa"/>
                <w:jc w:val="center"/>
              </w:trPr>
              <w:tc>
                <w:tcPr>
                  <w:tcW w:w="12225" w:type="dxa"/>
                  <w:shd w:val="clear"/>
                  <w:vAlign w:val="center"/>
                </w:tcPr>
                <w:p>
                  <w:pPr>
                    <w:jc w:val="center"/>
                    <w:rPr>
                      <w:rFonts w:hint="eastAsia" w:ascii="宋体" w:hAnsi="宋体" w:eastAsia="宋体" w:cs="宋体"/>
                      <w:color w:val="212121"/>
                      <w:sz w:val="18"/>
                      <w:szCs w:val="18"/>
                    </w:rPr>
                  </w:pPr>
                </w:p>
              </w:tc>
            </w:tr>
            <w:tr>
              <w:tblPrEx>
                <w:tblLayout w:type="fixed"/>
                <w:tblCellMar>
                  <w:top w:w="0" w:type="dxa"/>
                  <w:left w:w="0" w:type="dxa"/>
                  <w:bottom w:w="0" w:type="dxa"/>
                  <w:right w:w="0" w:type="dxa"/>
                </w:tblCellMar>
              </w:tblPrEx>
              <w:trPr>
                <w:trHeight w:val="75" w:hRule="atLeast"/>
                <w:tblCellSpacing w:w="0" w:type="dxa"/>
                <w:jc w:val="center"/>
              </w:trPr>
              <w:tc>
                <w:tcPr>
                  <w:tcW w:w="12225" w:type="dxa"/>
                  <w:shd w:val="clear"/>
                  <w:vAlign w:val="center"/>
                </w:tcPr>
                <w:p>
                  <w:pPr>
                    <w:rPr>
                      <w:rFonts w:hint="eastAsia" w:ascii="宋体" w:hAnsi="宋体" w:eastAsia="宋体" w:cs="宋体"/>
                      <w:sz w:val="18"/>
                      <w:szCs w:val="18"/>
                    </w:rPr>
                  </w:pPr>
                </w:p>
              </w:tc>
            </w:tr>
          </w:tbl>
          <w:p>
            <w:pPr>
              <w:jc w:val="center"/>
              <w:rPr>
                <w:rFonts w:hint="eastAsia" w:ascii="宋体" w:hAnsi="宋体" w:eastAsia="宋体" w:cs="宋体"/>
                <w:sz w:val="18"/>
                <w:szCs w:val="18"/>
              </w:rPr>
            </w:pPr>
          </w:p>
        </w:tc>
      </w:tr>
      <w:tr>
        <w:tblPrEx>
          <w:shd w:val="clear" w:color="auto" w:fill="FFFFFF"/>
          <w:tblLayout w:type="fixed"/>
          <w:tblCellMar>
            <w:top w:w="0" w:type="dxa"/>
            <w:left w:w="675" w:type="dxa"/>
            <w:bottom w:w="0" w:type="dxa"/>
            <w:right w:w="675" w:type="dxa"/>
          </w:tblCellMar>
        </w:tblPrEx>
        <w:trPr>
          <w:trHeight w:val="7500" w:hRule="atLeast"/>
          <w:tblCellSpacing w:w="0" w:type="dxa"/>
          <w:jc w:val="center"/>
        </w:trPr>
        <w:tc>
          <w:tcPr>
            <w:tcW w:w="13575" w:type="dxa"/>
            <w:shd w:val="clear" w:color="auto" w:fill="FFFFFF"/>
            <w:tcMar>
              <w:top w:w="525" w:type="dxa"/>
              <w:bottom w:w="37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60" w:lineRule="atLeast"/>
              <w:ind w:left="0" w:right="0"/>
              <w:jc w:val="center"/>
            </w:pPr>
            <w:r>
              <w:rPr>
                <w:rFonts w:hint="eastAsia" w:ascii="宋体" w:hAnsi="宋体" w:eastAsia="宋体" w:cs="宋体"/>
                <w:color w:val="484747"/>
                <w:kern w:val="0"/>
                <w:sz w:val="21"/>
                <w:szCs w:val="21"/>
                <w:bdr w:val="none" w:color="auto" w:sz="0" w:space="0"/>
                <w:lang w:val="en-US" w:eastAsia="zh-CN" w:bidi="ar"/>
              </w:rPr>
              <w:t>目 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left"/>
            </w:pPr>
            <w:r>
              <w:rPr>
                <w:rFonts w:hint="eastAsia" w:ascii="宋体" w:hAnsi="宋体" w:eastAsia="宋体" w:cs="宋体"/>
                <w:b/>
                <w:color w:val="484747"/>
                <w:kern w:val="0"/>
                <w:sz w:val="21"/>
                <w:szCs w:val="21"/>
                <w:bdr w:val="none" w:color="auto" w:sz="0" w:space="0"/>
                <w:lang w:val="en-US" w:eastAsia="zh-CN" w:bidi="ar"/>
              </w:rPr>
              <w:t>第一部分　大厂回族自治县人民检察院概况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left"/>
            </w:pPr>
            <w:r>
              <w:rPr>
                <w:rFonts w:hint="eastAsia" w:ascii="宋体" w:hAnsi="宋体" w:eastAsia="宋体" w:cs="宋体"/>
                <w:color w:val="484747"/>
                <w:kern w:val="0"/>
                <w:sz w:val="21"/>
                <w:szCs w:val="21"/>
                <w:bdr w:val="none" w:color="auto" w:sz="0" w:space="0"/>
                <w:lang w:val="en-US" w:eastAsia="zh-CN" w:bidi="ar"/>
              </w:rPr>
              <w:t>一、主要职能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left"/>
            </w:pPr>
            <w:r>
              <w:rPr>
                <w:rFonts w:hint="eastAsia" w:ascii="宋体" w:hAnsi="宋体" w:eastAsia="宋体" w:cs="宋体"/>
                <w:color w:val="484747"/>
                <w:kern w:val="0"/>
                <w:sz w:val="21"/>
                <w:szCs w:val="21"/>
                <w:bdr w:val="none" w:color="auto" w:sz="0" w:space="0"/>
                <w:lang w:val="en-US" w:eastAsia="zh-CN" w:bidi="ar"/>
              </w:rPr>
              <w:t>二、部门决算单位构成</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left"/>
            </w:pPr>
            <w:r>
              <w:rPr>
                <w:rFonts w:hint="eastAsia" w:ascii="宋体" w:hAnsi="宋体" w:eastAsia="宋体" w:cs="宋体"/>
                <w:b/>
                <w:color w:val="484747"/>
                <w:kern w:val="0"/>
                <w:sz w:val="21"/>
                <w:szCs w:val="21"/>
                <w:bdr w:val="none" w:color="auto" w:sz="0" w:space="0"/>
                <w:lang w:val="en-US" w:eastAsia="zh-CN" w:bidi="ar"/>
              </w:rPr>
              <w:t>第二部分 大厂回族自治县人民检察院2015年度部门决算说明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left"/>
            </w:pPr>
            <w:r>
              <w:rPr>
                <w:rFonts w:hint="eastAsia" w:ascii="宋体" w:hAnsi="宋体" w:eastAsia="宋体" w:cs="宋体"/>
                <w:b/>
                <w:color w:val="484747"/>
                <w:kern w:val="0"/>
                <w:sz w:val="21"/>
                <w:szCs w:val="21"/>
                <w:bdr w:val="none" w:color="auto" w:sz="0" w:space="0"/>
                <w:lang w:val="en-US" w:eastAsia="zh-CN" w:bidi="ar"/>
              </w:rPr>
              <w:t>第三部分 大厂回族自治县人民检察院2015年度部门决算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left"/>
            </w:pPr>
            <w:r>
              <w:rPr>
                <w:rFonts w:hint="eastAsia" w:ascii="宋体" w:hAnsi="宋体" w:eastAsia="宋体" w:cs="宋体"/>
                <w:color w:val="484747"/>
                <w:kern w:val="0"/>
                <w:sz w:val="21"/>
                <w:szCs w:val="21"/>
                <w:bdr w:val="none" w:color="auto" w:sz="0" w:space="0"/>
                <w:lang w:val="en-US" w:eastAsia="zh-CN" w:bidi="ar"/>
              </w:rPr>
              <w:t>一、收入支出决算批复表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left"/>
            </w:pPr>
            <w:r>
              <w:rPr>
                <w:rFonts w:hint="eastAsia" w:ascii="宋体" w:hAnsi="宋体" w:eastAsia="宋体" w:cs="宋体"/>
                <w:color w:val="484747"/>
                <w:kern w:val="0"/>
                <w:sz w:val="21"/>
                <w:szCs w:val="21"/>
                <w:bdr w:val="none" w:color="auto" w:sz="0" w:space="0"/>
                <w:lang w:val="en-US" w:eastAsia="zh-CN" w:bidi="ar"/>
              </w:rPr>
              <w:t>二、收入决算批复表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left"/>
            </w:pPr>
            <w:r>
              <w:rPr>
                <w:rFonts w:hint="eastAsia" w:ascii="宋体" w:hAnsi="宋体" w:eastAsia="宋体" w:cs="宋体"/>
                <w:color w:val="484747"/>
                <w:kern w:val="0"/>
                <w:sz w:val="21"/>
                <w:szCs w:val="21"/>
                <w:bdr w:val="none" w:color="auto" w:sz="0" w:space="0"/>
                <w:lang w:val="en-US" w:eastAsia="zh-CN" w:bidi="ar"/>
              </w:rPr>
              <w:t>三、支出决算批复表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left"/>
            </w:pPr>
            <w:r>
              <w:rPr>
                <w:rFonts w:hint="eastAsia" w:ascii="宋体" w:hAnsi="宋体" w:eastAsia="宋体" w:cs="宋体"/>
                <w:color w:val="484747"/>
                <w:kern w:val="0"/>
                <w:sz w:val="21"/>
                <w:szCs w:val="21"/>
                <w:bdr w:val="none" w:color="auto" w:sz="0" w:space="0"/>
                <w:lang w:val="en-US" w:eastAsia="zh-CN" w:bidi="ar"/>
              </w:rPr>
              <w:t>四、财政拨款收入支出决算批复表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left"/>
            </w:pPr>
            <w:r>
              <w:rPr>
                <w:rFonts w:hint="eastAsia" w:ascii="宋体" w:hAnsi="宋体" w:eastAsia="宋体" w:cs="宋体"/>
                <w:color w:val="484747"/>
                <w:kern w:val="0"/>
                <w:sz w:val="21"/>
                <w:szCs w:val="21"/>
                <w:bdr w:val="none" w:color="auto" w:sz="0" w:space="0"/>
                <w:lang w:val="en-US" w:eastAsia="zh-CN" w:bidi="ar"/>
              </w:rPr>
              <w:t>五、一般公共预算财政拨款支出决算批复表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left"/>
            </w:pPr>
            <w:r>
              <w:rPr>
                <w:rFonts w:hint="eastAsia" w:ascii="宋体" w:hAnsi="宋体" w:eastAsia="宋体" w:cs="宋体"/>
                <w:color w:val="484747"/>
                <w:kern w:val="0"/>
                <w:sz w:val="21"/>
                <w:szCs w:val="21"/>
                <w:bdr w:val="none" w:color="auto" w:sz="0" w:space="0"/>
                <w:lang w:val="en-US" w:eastAsia="zh-CN" w:bidi="ar"/>
              </w:rPr>
              <w:t>六、一般公共预算财政拨款基本支出决算批复表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420"/>
              <w:jc w:val="left"/>
            </w:pPr>
            <w:r>
              <w:rPr>
                <w:rFonts w:hint="eastAsia" w:ascii="宋体" w:hAnsi="宋体" w:eastAsia="宋体" w:cs="宋体"/>
                <w:color w:val="484747"/>
                <w:kern w:val="0"/>
                <w:sz w:val="21"/>
                <w:szCs w:val="21"/>
                <w:bdr w:val="none" w:color="auto" w:sz="0" w:space="0"/>
                <w:lang w:val="en-US" w:eastAsia="zh-CN" w:bidi="ar"/>
              </w:rPr>
              <w:t>七、政府性基金预算财政拨款收入支出决算批复表（无收支）</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420"/>
              <w:jc w:val="left"/>
            </w:pPr>
            <w:r>
              <w:rPr>
                <w:rFonts w:hint="eastAsia" w:ascii="宋体" w:hAnsi="宋体" w:eastAsia="宋体" w:cs="宋体"/>
                <w:color w:val="484747"/>
                <w:kern w:val="0"/>
                <w:sz w:val="21"/>
                <w:szCs w:val="21"/>
                <w:bdr w:val="none" w:color="auto" w:sz="0" w:space="0"/>
                <w:lang w:val="en-US" w:eastAsia="zh-CN" w:bidi="ar"/>
              </w:rPr>
              <w:t>八、政府性基金预算财政拨款基本支出决算批复表（无收支）</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420"/>
              <w:jc w:val="left"/>
            </w:pPr>
            <w:r>
              <w:rPr>
                <w:rFonts w:hint="eastAsia" w:ascii="宋体" w:hAnsi="宋体" w:eastAsia="宋体" w:cs="宋体"/>
                <w:color w:val="484747"/>
                <w:kern w:val="0"/>
                <w:sz w:val="21"/>
                <w:szCs w:val="21"/>
                <w:bdr w:val="none" w:color="auto" w:sz="0" w:space="0"/>
                <w:lang w:val="en-US" w:eastAsia="zh-CN" w:bidi="ar"/>
              </w:rPr>
              <w:t>九、资产情况表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420"/>
              <w:jc w:val="left"/>
            </w:pPr>
            <w:r>
              <w:rPr>
                <w:rFonts w:hint="eastAsia" w:ascii="宋体" w:hAnsi="宋体" w:eastAsia="宋体" w:cs="宋体"/>
                <w:color w:val="484747"/>
                <w:kern w:val="0"/>
                <w:sz w:val="21"/>
                <w:szCs w:val="21"/>
                <w:bdr w:val="none" w:color="auto" w:sz="0" w:space="0"/>
                <w:lang w:val="en-US" w:eastAsia="zh-CN" w:bidi="ar"/>
              </w:rPr>
              <w:t>十、政府采购情况表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420"/>
              <w:jc w:val="left"/>
            </w:pPr>
            <w:r>
              <w:rPr>
                <w:rFonts w:hint="eastAsia" w:ascii="宋体" w:hAnsi="宋体" w:eastAsia="宋体" w:cs="宋体"/>
                <w:color w:val="484747"/>
                <w:kern w:val="0"/>
                <w:sz w:val="21"/>
                <w:szCs w:val="21"/>
                <w:bdr w:val="none" w:color="auto" w:sz="0" w:space="0"/>
                <w:lang w:val="en-US" w:eastAsia="zh-CN" w:bidi="ar"/>
              </w:rPr>
              <w:t>十一、一般公共预算财政拨款“三公”经费支出决算表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420"/>
              <w:jc w:val="left"/>
            </w:pPr>
            <w:r>
              <w:rPr>
                <w:rFonts w:hint="eastAsia" w:ascii="宋体" w:hAnsi="宋体" w:eastAsia="宋体" w:cs="宋体"/>
                <w:b/>
                <w:color w:val="484747"/>
                <w:kern w:val="0"/>
                <w:sz w:val="21"/>
                <w:szCs w:val="21"/>
                <w:bdr w:val="none" w:color="auto" w:sz="0" w:space="0"/>
                <w:lang w:val="en-US" w:eastAsia="zh-CN" w:bidi="ar"/>
              </w:rPr>
              <w:t xml:space="preserve">第一部分　大厂回族自治县人民检察院概况 </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left"/>
            </w:pPr>
            <w:r>
              <w:rPr>
                <w:rFonts w:hint="eastAsia" w:ascii="宋体" w:hAnsi="宋体" w:eastAsia="宋体" w:cs="宋体"/>
                <w:color w:val="484747"/>
                <w:kern w:val="0"/>
                <w:sz w:val="21"/>
                <w:szCs w:val="21"/>
                <w:bdr w:val="none" w:color="auto" w:sz="0" w:space="0"/>
                <w:lang w:val="en-US" w:eastAsia="zh-CN" w:bidi="ar"/>
              </w:rPr>
              <w:t>一、 主要职能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exact"/>
              <w:ind w:left="0" w:right="0" w:firstLine="480" w:firstLineChars="200"/>
            </w:pPr>
            <w:r>
              <w:rPr>
                <w:rFonts w:hint="eastAsia" w:ascii="宋体" w:hAnsi="宋体" w:eastAsia="宋体" w:cs="宋体"/>
                <w:color w:val="484747"/>
                <w:kern w:val="0"/>
                <w:sz w:val="24"/>
                <w:szCs w:val="24"/>
                <w:bdr w:val="none" w:color="auto" w:sz="0" w:space="0"/>
              </w:rPr>
              <w:t>人民检察院是国家的法律监督机关，在宪法和法律规定的范围内行使检察权，监督并保证国家法律的统一正确实施。检察权是宪法和法律规定的由人民检察院行使的对侦查机关、审判机关、执行机关的职能活动是否合法及国家机关、人民团体、企事业单位国家工作人员和公民是否遵守法律实行法律监督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exact"/>
              <w:ind w:left="0" w:right="0"/>
            </w:pPr>
            <w:r>
              <w:rPr>
                <w:rFonts w:hint="eastAsia" w:ascii="宋体" w:hAnsi="宋体" w:eastAsia="宋体" w:cs="宋体"/>
                <w:color w:val="484747"/>
                <w:kern w:val="0"/>
                <w:sz w:val="21"/>
                <w:szCs w:val="21"/>
                <w:bdr w:val="none" w:color="auto" w:sz="0" w:space="0"/>
              </w:rPr>
              <w:t>1、控告申诉部门：受理举报、控告、申诉；承办人民检察院负有赔偿义务的刑事赔偿案件。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exact"/>
              <w:ind w:left="0" w:right="0"/>
              <w:jc w:val="left"/>
            </w:pPr>
            <w:r>
              <w:rPr>
                <w:rFonts w:hint="eastAsia" w:ascii="宋体" w:hAnsi="宋体" w:eastAsia="宋体" w:cs="宋体"/>
                <w:color w:val="484747"/>
                <w:kern w:val="2"/>
                <w:sz w:val="21"/>
                <w:szCs w:val="21"/>
                <w:bdr w:val="none" w:color="auto" w:sz="0" w:space="0"/>
                <w:lang w:val="en-US" w:eastAsia="zh-CN" w:bidi="ar"/>
              </w:rPr>
              <w:t>2、反贪污贿赂部门：对国家工作人员的贪污、贿赂、挪用公款等职务犯罪，进行初查和立案侦查。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exact"/>
              <w:ind w:left="0" w:right="0"/>
              <w:jc w:val="left"/>
            </w:pPr>
            <w:r>
              <w:rPr>
                <w:rFonts w:hint="eastAsia" w:ascii="宋体" w:hAnsi="宋体" w:eastAsia="宋体" w:cs="宋体"/>
                <w:color w:val="484747"/>
                <w:kern w:val="2"/>
                <w:sz w:val="21"/>
                <w:szCs w:val="21"/>
                <w:bdr w:val="none" w:color="auto" w:sz="0" w:space="0"/>
                <w:lang w:val="en-US" w:eastAsia="zh-CN" w:bidi="ar"/>
              </w:rPr>
              <w:t>3、渎职侵权部门：对国家工作人员的渎职犯罪和国家机关工作人员利用职权实施的侵犯公民人身权利、公民民主权利的犯罪进行初查和立案侦查。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exact"/>
              <w:ind w:left="0" w:right="0"/>
              <w:jc w:val="left"/>
            </w:pPr>
            <w:r>
              <w:rPr>
                <w:rFonts w:hint="eastAsia" w:ascii="宋体" w:hAnsi="宋体" w:eastAsia="宋体" w:cs="宋体"/>
                <w:color w:val="484747"/>
                <w:kern w:val="2"/>
                <w:sz w:val="21"/>
                <w:szCs w:val="21"/>
                <w:bdr w:val="none" w:color="auto" w:sz="0" w:space="0"/>
                <w:lang w:val="en-US" w:eastAsia="zh-CN" w:bidi="ar"/>
              </w:rPr>
              <w:t>4、侦查监督部门：负责刑事案件犯罪嫌疑人的审查批捕、决定逮捕和刑事立案监督、侦查活动监督工作。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exact"/>
              <w:ind w:left="0" w:right="0"/>
              <w:jc w:val="left"/>
            </w:pPr>
            <w:r>
              <w:rPr>
                <w:rFonts w:hint="eastAsia" w:ascii="宋体" w:hAnsi="宋体" w:eastAsia="宋体" w:cs="宋体"/>
                <w:color w:val="484747"/>
                <w:kern w:val="2"/>
                <w:sz w:val="21"/>
                <w:szCs w:val="21"/>
                <w:bdr w:val="none" w:color="auto" w:sz="0" w:space="0"/>
                <w:lang w:val="en-US" w:eastAsia="zh-CN" w:bidi="ar"/>
              </w:rPr>
              <w:t>5、公诉部门：负责对刑事案件的审查起诉、出庭公诉工作：负责侦查监督和审查监督工作。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exact"/>
              <w:ind w:left="0" w:right="0"/>
              <w:jc w:val="left"/>
            </w:pPr>
            <w:r>
              <w:rPr>
                <w:rFonts w:hint="eastAsia" w:ascii="宋体" w:hAnsi="宋体" w:eastAsia="宋体" w:cs="宋体"/>
                <w:color w:val="484747"/>
                <w:kern w:val="2"/>
                <w:sz w:val="21"/>
                <w:szCs w:val="21"/>
                <w:bdr w:val="none" w:color="auto" w:sz="0" w:space="0"/>
                <w:lang w:val="en-US" w:eastAsia="zh-CN" w:bidi="ar"/>
              </w:rPr>
              <w:t>6、监所检察部门：负责对刑事判决、裁定、劳动教养决定的执行和监管活动进行监督，直接立案侦查虐待被监管人员和私放在押人员等罪案。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exact"/>
              <w:ind w:left="0" w:right="0" w:firstLine="645"/>
              <w:jc w:val="left"/>
            </w:pPr>
            <w:r>
              <w:rPr>
                <w:rFonts w:hint="eastAsia" w:ascii="宋体" w:hAnsi="宋体" w:eastAsia="宋体" w:cs="宋体"/>
                <w:color w:val="484747"/>
                <w:kern w:val="2"/>
                <w:sz w:val="21"/>
                <w:szCs w:val="21"/>
                <w:bdr w:val="none" w:color="auto" w:sz="0" w:space="0"/>
                <w:lang w:val="en-US" w:eastAsia="zh-CN" w:bidi="ar"/>
              </w:rPr>
              <w:t>7、民事行政检察部门：受理不服民事行政判决、裁定的申诉、控告；对确有错误的民事、行政判决、裁定，依法提请或建议上级人民检察院抗诉。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exact"/>
              <w:ind w:left="0" w:right="0"/>
              <w:jc w:val="left"/>
            </w:pPr>
            <w:r>
              <w:rPr>
                <w:rFonts w:hint="eastAsia" w:ascii="宋体" w:hAnsi="宋体" w:eastAsia="宋体" w:cs="宋体"/>
                <w:color w:val="484747"/>
                <w:kern w:val="2"/>
                <w:sz w:val="21"/>
                <w:szCs w:val="21"/>
                <w:bdr w:val="none" w:color="auto" w:sz="0" w:space="0"/>
                <w:lang w:val="en-US" w:eastAsia="zh-CN" w:bidi="ar"/>
              </w:rPr>
              <w:t>8、办公室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exact"/>
              <w:ind w:left="0" w:right="0" w:firstLine="640"/>
              <w:jc w:val="left"/>
            </w:pPr>
            <w:r>
              <w:rPr>
                <w:rFonts w:hint="eastAsia" w:ascii="宋体" w:hAnsi="宋体" w:eastAsia="宋体" w:cs="宋体"/>
                <w:color w:val="484747"/>
                <w:kern w:val="2"/>
                <w:sz w:val="21"/>
                <w:szCs w:val="21"/>
                <w:bdr w:val="none" w:color="auto" w:sz="0" w:space="0"/>
                <w:lang w:val="en-US" w:eastAsia="zh-CN" w:bidi="ar"/>
              </w:rPr>
              <w:t>负责文件起草、编发检察信息、机要通信、检察统计、档案管理、财务、技术设备、督查、会议组织工作协调调查研究等工作。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exact"/>
              <w:ind w:left="0" w:right="0" w:firstLine="645"/>
              <w:jc w:val="left"/>
            </w:pPr>
            <w:r>
              <w:rPr>
                <w:rFonts w:hint="eastAsia" w:ascii="宋体" w:hAnsi="宋体" w:eastAsia="宋体" w:cs="宋体"/>
                <w:color w:val="484747"/>
                <w:kern w:val="2"/>
                <w:sz w:val="21"/>
                <w:szCs w:val="21"/>
                <w:bdr w:val="none" w:color="auto" w:sz="0" w:space="0"/>
                <w:lang w:val="en-US" w:eastAsia="zh-CN" w:bidi="ar"/>
              </w:rPr>
              <w:t>9、政治处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exact"/>
              <w:ind w:left="0" w:right="0" w:firstLine="645"/>
              <w:jc w:val="left"/>
            </w:pPr>
            <w:r>
              <w:rPr>
                <w:rFonts w:hint="eastAsia" w:ascii="宋体" w:hAnsi="宋体" w:eastAsia="宋体" w:cs="宋体"/>
                <w:color w:val="484747"/>
                <w:kern w:val="2"/>
                <w:sz w:val="21"/>
                <w:szCs w:val="21"/>
                <w:bdr w:val="none" w:color="auto" w:sz="0" w:space="0"/>
                <w:lang w:val="en-US" w:eastAsia="zh-CN" w:bidi="ar"/>
              </w:rPr>
              <w:t>承办本院机构设置，人员编制，检察官等级评定工作；负责办理职务任免，职称评定，公务员年度考核工作；负责机关党务和队伍建设等工作。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exact"/>
              <w:ind w:left="0" w:right="0" w:firstLine="640"/>
              <w:jc w:val="left"/>
            </w:pPr>
            <w:r>
              <w:rPr>
                <w:rFonts w:hint="eastAsia" w:ascii="宋体" w:hAnsi="宋体" w:eastAsia="宋体" w:cs="宋体"/>
                <w:color w:val="484747"/>
                <w:kern w:val="2"/>
                <w:sz w:val="21"/>
                <w:szCs w:val="21"/>
                <w:bdr w:val="none" w:color="auto" w:sz="0" w:space="0"/>
                <w:lang w:val="en-US" w:eastAsia="zh-CN" w:bidi="ar"/>
              </w:rPr>
              <w:t>10、纪检、监察部门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exact"/>
              <w:ind w:left="0" w:right="0" w:firstLine="640"/>
              <w:jc w:val="left"/>
            </w:pPr>
            <w:r>
              <w:rPr>
                <w:rFonts w:hint="eastAsia" w:ascii="宋体" w:hAnsi="宋体" w:eastAsia="宋体" w:cs="宋体"/>
                <w:color w:val="484747"/>
                <w:kern w:val="2"/>
                <w:sz w:val="21"/>
                <w:szCs w:val="21"/>
                <w:bdr w:val="none" w:color="auto" w:sz="0" w:space="0"/>
                <w:lang w:val="en-US" w:eastAsia="zh-CN" w:bidi="ar"/>
              </w:rPr>
              <w:t>负责受理群众和社会各界对检察人员利用职权进行违法办案、越权办案、刑讯逼供、吃请受贿等违法违纪行为的举报和控告，并进行查处；通过执法监察、巡视、检务督察、经济责任审计等形式，加强对检察机关领导班子、领导干部和执法办案活动的监督等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exact"/>
              <w:ind w:left="0" w:right="0" w:firstLine="640"/>
              <w:jc w:val="left"/>
            </w:pPr>
            <w:r>
              <w:rPr>
                <w:rFonts w:hint="eastAsia" w:ascii="宋体" w:hAnsi="宋体" w:eastAsia="宋体" w:cs="宋体"/>
                <w:color w:val="484747"/>
                <w:kern w:val="2"/>
                <w:sz w:val="21"/>
                <w:szCs w:val="21"/>
                <w:bdr w:val="none" w:color="auto" w:sz="0" w:space="0"/>
                <w:lang w:val="en-US" w:eastAsia="zh-CN" w:bidi="ar"/>
              </w:rPr>
              <w:t>11、职务犯罪预防部门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exact"/>
              <w:ind w:left="0" w:right="0" w:firstLine="640"/>
              <w:jc w:val="left"/>
            </w:pPr>
            <w:r>
              <w:rPr>
                <w:rFonts w:hint="eastAsia" w:ascii="宋体" w:hAnsi="宋体" w:eastAsia="宋体" w:cs="宋体"/>
                <w:color w:val="484747"/>
                <w:kern w:val="2"/>
                <w:sz w:val="21"/>
                <w:szCs w:val="21"/>
                <w:bdr w:val="none" w:color="auto" w:sz="0" w:space="0"/>
                <w:lang w:val="en-US" w:eastAsia="zh-CN" w:bidi="ar"/>
              </w:rPr>
              <w:t>负责研究分析典型职务犯罪的特点、规律，提出防范对策，并协助有关单位落实；开展预防咨询和警示教育；管理检察机关行贿犯罪档案查询系统并受理查询等工作。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exact"/>
              <w:ind w:left="0" w:right="0" w:firstLine="645"/>
              <w:jc w:val="left"/>
            </w:pPr>
            <w:r>
              <w:rPr>
                <w:rFonts w:hint="eastAsia" w:ascii="宋体" w:hAnsi="宋体" w:eastAsia="宋体" w:cs="宋体"/>
                <w:color w:val="484747"/>
                <w:kern w:val="2"/>
                <w:sz w:val="21"/>
                <w:szCs w:val="21"/>
                <w:bdr w:val="none" w:color="auto" w:sz="0" w:space="0"/>
                <w:lang w:val="en-US" w:eastAsia="zh-CN" w:bidi="ar"/>
              </w:rPr>
              <w:t>12、法警队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exact"/>
              <w:ind w:left="0" w:right="0" w:firstLine="640"/>
              <w:jc w:val="left"/>
            </w:pPr>
            <w:r>
              <w:rPr>
                <w:rFonts w:hint="eastAsia" w:ascii="宋体" w:hAnsi="宋体" w:eastAsia="宋体" w:cs="宋体"/>
                <w:color w:val="484747"/>
                <w:kern w:val="2"/>
                <w:sz w:val="21"/>
                <w:szCs w:val="21"/>
                <w:bdr w:val="none" w:color="auto" w:sz="0" w:space="0"/>
                <w:lang w:val="en-US" w:eastAsia="zh-CN" w:bidi="ar"/>
              </w:rPr>
              <w:t>执法传唤、参与搜查、执行拘传和协助执行其它强制措施，提解、押送、看管犯罪嫌疑人等。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exact"/>
              <w:ind w:left="0" w:right="0" w:firstLine="640"/>
              <w:jc w:val="left"/>
            </w:pPr>
            <w:r>
              <w:rPr>
                <w:rFonts w:hint="eastAsia" w:ascii="宋体" w:hAnsi="宋体" w:eastAsia="宋体" w:cs="宋体"/>
                <w:color w:val="484747"/>
                <w:kern w:val="2"/>
                <w:sz w:val="21"/>
                <w:szCs w:val="21"/>
                <w:bdr w:val="none" w:color="auto" w:sz="0" w:space="0"/>
                <w:lang w:val="en-US" w:eastAsia="zh-CN" w:bidi="ar"/>
              </w:rPr>
              <w:t>13、案管办职责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exact"/>
              <w:ind w:left="0" w:right="0" w:firstLine="640"/>
              <w:jc w:val="left"/>
            </w:pPr>
            <w:r>
              <w:rPr>
                <w:rFonts w:hint="eastAsia" w:ascii="宋体" w:hAnsi="宋体" w:eastAsia="宋体" w:cs="宋体"/>
                <w:color w:val="484747"/>
                <w:kern w:val="2"/>
                <w:sz w:val="21"/>
                <w:szCs w:val="21"/>
                <w:bdr w:val="none" w:color="auto" w:sz="0" w:space="0"/>
                <w:lang w:val="en-US" w:eastAsia="zh-CN" w:bidi="ar"/>
              </w:rPr>
              <w:t>统一负责案件受理、流转，办案流程监控、负责业务统计、分析及扣押、冻结款物的监督。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exact"/>
              <w:ind w:left="0" w:right="0" w:firstLine="640"/>
              <w:jc w:val="left"/>
            </w:pPr>
            <w:r>
              <w:rPr>
                <w:rFonts w:hint="eastAsia" w:ascii="宋体" w:hAnsi="宋体" w:eastAsia="宋体" w:cs="宋体"/>
                <w:color w:val="484747"/>
                <w:kern w:val="2"/>
                <w:sz w:val="21"/>
                <w:szCs w:val="21"/>
                <w:bdr w:val="none" w:color="auto" w:sz="0" w:space="0"/>
                <w:lang w:val="en-US" w:eastAsia="zh-CN" w:bidi="ar"/>
              </w:rPr>
              <w:t>14、未检科职责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exact"/>
              <w:ind w:left="0" w:right="0" w:firstLine="640"/>
              <w:jc w:val="left"/>
            </w:pPr>
            <w:r>
              <w:rPr>
                <w:rFonts w:hint="eastAsia" w:ascii="宋体" w:hAnsi="宋体" w:eastAsia="宋体" w:cs="宋体"/>
                <w:color w:val="484747"/>
                <w:kern w:val="2"/>
                <w:sz w:val="21"/>
                <w:szCs w:val="21"/>
                <w:bdr w:val="none" w:color="auto" w:sz="0" w:space="0"/>
                <w:lang w:val="en-US" w:eastAsia="zh-CN" w:bidi="ar"/>
              </w:rPr>
              <w:t>负责未成年人刑事案件的审理。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420"/>
              <w:jc w:val="left"/>
            </w:pPr>
            <w:r>
              <w:rPr>
                <w:rFonts w:hint="eastAsia" w:ascii="宋体" w:hAnsi="宋体" w:eastAsia="宋体" w:cs="宋体"/>
                <w:color w:val="484747"/>
                <w:kern w:val="0"/>
                <w:sz w:val="21"/>
                <w:szCs w:val="21"/>
                <w:bdr w:val="none" w:color="auto" w:sz="0" w:space="0"/>
                <w:lang w:val="en-US" w:eastAsia="zh-CN" w:bidi="ar"/>
              </w:rPr>
              <w:t>二、部门决算单位构成</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left"/>
            </w:pPr>
            <w:r>
              <w:rPr>
                <w:rFonts w:hint="eastAsia" w:ascii="宋体" w:hAnsi="宋体" w:eastAsia="宋体" w:cs="宋体"/>
                <w:color w:val="484747"/>
                <w:kern w:val="0"/>
                <w:sz w:val="21"/>
                <w:szCs w:val="21"/>
                <w:bdr w:val="none" w:color="auto" w:sz="0" w:space="0"/>
                <w:lang w:val="en-US" w:eastAsia="zh-CN" w:bidi="ar"/>
              </w:rPr>
              <w:t>大厂回族自治县人民检察院部门决算为县本级决算,没有下属单位。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left"/>
            </w:pPr>
            <w:r>
              <w:rPr>
                <w:rFonts w:hint="eastAsia" w:ascii="宋体" w:hAnsi="宋体" w:eastAsia="宋体" w:cs="宋体"/>
                <w:b/>
                <w:color w:val="484747"/>
                <w:kern w:val="0"/>
                <w:sz w:val="21"/>
                <w:szCs w:val="21"/>
                <w:bdr w:val="none" w:color="auto" w:sz="0" w:space="0"/>
                <w:lang w:val="en-US" w:eastAsia="zh-CN" w:bidi="ar"/>
              </w:rPr>
              <w:t>第二部分　大厂回族自治县人民检察院2015年度部门决算说明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firstLineChars="200"/>
              <w:jc w:val="left"/>
            </w:pPr>
            <w:r>
              <w:rPr>
                <w:rFonts w:hint="eastAsia" w:ascii="宋体" w:hAnsi="宋体" w:eastAsia="宋体" w:cs="宋体"/>
                <w:color w:val="484747"/>
                <w:kern w:val="0"/>
                <w:sz w:val="21"/>
                <w:szCs w:val="21"/>
                <w:bdr w:val="none" w:color="auto" w:sz="0" w:space="0"/>
                <w:lang w:val="en-US" w:eastAsia="zh-CN" w:bidi="ar"/>
              </w:rPr>
              <w:t xml:space="preserve">一、 </w:t>
            </w:r>
            <w:r>
              <w:rPr>
                <w:rFonts w:hint="eastAsia" w:ascii="宋体" w:hAnsi="宋体" w:eastAsia="宋体" w:cs="宋体"/>
                <w:color w:val="484747"/>
                <w:kern w:val="2"/>
                <w:sz w:val="21"/>
                <w:szCs w:val="21"/>
                <w:bdr w:val="none" w:color="auto" w:sz="0" w:space="0"/>
                <w:lang w:val="en-US" w:eastAsia="zh-CN" w:bidi="ar"/>
              </w:rPr>
              <w:t>财政拨款收入支出情况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firstLineChars="200"/>
              <w:jc w:val="left"/>
            </w:pPr>
            <w:r>
              <w:rPr>
                <w:rFonts w:hint="eastAsia" w:ascii="宋体" w:hAnsi="宋体" w:eastAsia="宋体" w:cs="宋体"/>
                <w:color w:val="484747"/>
                <w:kern w:val="2"/>
                <w:sz w:val="21"/>
                <w:szCs w:val="21"/>
                <w:bdr w:val="none" w:color="auto" w:sz="0" w:space="0"/>
                <w:lang w:val="en-US" w:eastAsia="zh-CN" w:bidi="ar"/>
              </w:rPr>
              <w:t>我院2015年收入6656732.26元，支出9145306.45元，结余结转金额328652.81元。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firstLineChars="200"/>
              <w:jc w:val="left"/>
            </w:pPr>
            <w:r>
              <w:rPr>
                <w:rFonts w:hint="eastAsia" w:ascii="宋体" w:hAnsi="宋体" w:eastAsia="宋体" w:cs="宋体"/>
                <w:color w:val="484747"/>
                <w:kern w:val="2"/>
                <w:sz w:val="21"/>
                <w:szCs w:val="21"/>
                <w:bdr w:val="none" w:color="auto" w:sz="0" w:space="0"/>
                <w:lang w:val="en-US" w:eastAsia="zh-CN" w:bidi="ar"/>
              </w:rPr>
              <w:t>二、人员经费支出决算情况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firstLineChars="200"/>
              <w:jc w:val="left"/>
            </w:pPr>
            <w:r>
              <w:rPr>
                <w:rFonts w:hint="eastAsia" w:ascii="宋体" w:hAnsi="宋体" w:eastAsia="宋体" w:cs="宋体"/>
                <w:color w:val="484747"/>
                <w:kern w:val="2"/>
                <w:sz w:val="21"/>
                <w:szCs w:val="21"/>
                <w:bdr w:val="none" w:color="auto" w:sz="0" w:space="0"/>
                <w:lang w:val="en-US" w:eastAsia="zh-CN" w:bidi="ar"/>
              </w:rPr>
              <w:t>（一）、工资福利支出3855898.56元。包括：基本工资851559元、津贴补贴2781176.6元、社会保障缴费31312.96元、其他工资福利支出191850元。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firstLineChars="200"/>
              <w:jc w:val="left"/>
            </w:pPr>
            <w:r>
              <w:rPr>
                <w:rFonts w:hint="eastAsia" w:ascii="宋体" w:hAnsi="宋体" w:eastAsia="宋体" w:cs="宋体"/>
                <w:color w:val="484747"/>
                <w:kern w:val="2"/>
                <w:sz w:val="21"/>
                <w:szCs w:val="21"/>
                <w:bdr w:val="none" w:color="auto" w:sz="0" w:space="0"/>
                <w:lang w:val="en-US" w:eastAsia="zh-CN" w:bidi="ar"/>
              </w:rPr>
              <w:t>（二）对个人和家庭的补助621244.8元。包括：医疗费45000元、奖励金576244.8元。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firstLineChars="200"/>
              <w:jc w:val="left"/>
            </w:pPr>
            <w:r>
              <w:rPr>
                <w:rFonts w:hint="eastAsia" w:ascii="宋体" w:hAnsi="宋体" w:eastAsia="宋体" w:cs="宋体"/>
                <w:color w:val="484747"/>
                <w:kern w:val="2"/>
                <w:sz w:val="21"/>
                <w:szCs w:val="21"/>
                <w:bdr w:val="none" w:color="auto" w:sz="0" w:space="0"/>
                <w:lang w:val="en-US" w:eastAsia="zh-CN" w:bidi="ar"/>
              </w:rPr>
              <w:t>三、基本支出决算情况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firstLineChars="200"/>
              <w:jc w:val="left"/>
            </w:pPr>
            <w:r>
              <w:rPr>
                <w:rFonts w:hint="eastAsia" w:ascii="宋体" w:hAnsi="宋体" w:eastAsia="宋体" w:cs="宋体"/>
                <w:color w:val="484747"/>
                <w:kern w:val="2"/>
                <w:sz w:val="21"/>
                <w:szCs w:val="21"/>
                <w:bdr w:val="none" w:color="auto" w:sz="0" w:space="0"/>
                <w:lang w:val="en-US" w:eastAsia="zh-CN" w:bidi="ar"/>
              </w:rPr>
              <w:t>（一）、日常运转经费945858.58元。包括办公费188026.07元、印刷费17000元、手续费59.9、水费3944.5元、电费71759.29元、邮电费73385.12元、取暖费132763.5元、物业管理费18910元、差旅费49969.6元、、维护费28304元、会议费12452元、培训费16636元、劳务费120590元、其他商品和服务支出212058.6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firstLineChars="200"/>
              <w:jc w:val="left"/>
            </w:pPr>
            <w:r>
              <w:rPr>
                <w:rFonts w:hint="eastAsia" w:ascii="宋体" w:hAnsi="宋体" w:eastAsia="宋体" w:cs="宋体"/>
                <w:color w:val="484747"/>
                <w:kern w:val="2"/>
                <w:sz w:val="21"/>
                <w:szCs w:val="21"/>
                <w:bdr w:val="none" w:color="auto" w:sz="0" w:space="0"/>
                <w:lang w:val="en-US" w:eastAsia="zh-CN" w:bidi="ar"/>
              </w:rPr>
              <w:t>（二）、公务用车运行维护费278383.75元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firstLineChars="200"/>
              <w:jc w:val="left"/>
            </w:pPr>
            <w:r>
              <w:rPr>
                <w:rFonts w:hint="eastAsia" w:ascii="宋体" w:hAnsi="宋体" w:eastAsia="宋体" w:cs="宋体"/>
                <w:color w:val="484747"/>
                <w:kern w:val="2"/>
                <w:sz w:val="21"/>
                <w:szCs w:val="21"/>
                <w:bdr w:val="none" w:color="auto" w:sz="0" w:space="0"/>
                <w:lang w:val="en-US" w:eastAsia="zh-CN" w:bidi="ar"/>
              </w:rPr>
              <w:t>（三）、公务接待费6230元。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firstLineChars="200"/>
              <w:jc w:val="left"/>
            </w:pPr>
            <w:r>
              <w:rPr>
                <w:rFonts w:hint="eastAsia" w:ascii="宋体" w:hAnsi="宋体" w:eastAsia="宋体" w:cs="宋体"/>
                <w:color w:val="484747"/>
                <w:kern w:val="2"/>
                <w:sz w:val="21"/>
                <w:szCs w:val="21"/>
                <w:bdr w:val="none" w:color="auto" w:sz="0" w:space="0"/>
                <w:lang w:val="en-US" w:eastAsia="zh-CN" w:bidi="ar"/>
              </w:rPr>
              <w:t>（四）其他资本性支出743382.57元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firstLineChars="200"/>
              <w:jc w:val="left"/>
            </w:pPr>
            <w:r>
              <w:rPr>
                <w:rFonts w:hint="eastAsia" w:ascii="宋体" w:hAnsi="宋体" w:eastAsia="宋体" w:cs="宋体"/>
                <w:color w:val="484747"/>
                <w:kern w:val="2"/>
                <w:sz w:val="21"/>
                <w:szCs w:val="21"/>
                <w:bdr w:val="none" w:color="auto" w:sz="0" w:space="0"/>
                <w:lang w:val="en-US" w:eastAsia="zh-CN" w:bidi="ar"/>
              </w:rPr>
              <w:t>四、专项公用经费支出决算情况2694308.19元包括：业务装备购置费1286945元、办案经费1362183.19元、对个人和家庭支出45180元。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firstLineChars="200"/>
              <w:jc w:val="left"/>
            </w:pPr>
            <w:r>
              <w:rPr>
                <w:rFonts w:hint="eastAsia" w:ascii="宋体" w:hAnsi="宋体" w:eastAsia="宋体" w:cs="宋体"/>
                <w:color w:val="484747"/>
                <w:kern w:val="2"/>
                <w:sz w:val="21"/>
                <w:szCs w:val="21"/>
                <w:bdr w:val="none" w:color="auto" w:sz="0" w:space="0"/>
                <w:lang w:val="en-US" w:eastAsia="zh-CN" w:bidi="ar"/>
              </w:rPr>
              <w:t>五、非税收入决算情况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firstLineChars="200"/>
              <w:jc w:val="left"/>
            </w:pPr>
            <w:r>
              <w:rPr>
                <w:rFonts w:hint="eastAsia" w:ascii="宋体" w:hAnsi="宋体" w:eastAsia="宋体" w:cs="宋体"/>
                <w:color w:val="484747"/>
                <w:kern w:val="2"/>
                <w:sz w:val="21"/>
                <w:szCs w:val="21"/>
                <w:bdr w:val="none" w:color="auto" w:sz="0" w:space="0"/>
                <w:lang w:val="en-US" w:eastAsia="zh-CN" w:bidi="ar"/>
              </w:rPr>
              <w:t>我院上缴罚没收入2066711.74元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firstLineChars="200"/>
              <w:jc w:val="left"/>
            </w:pPr>
            <w:r>
              <w:rPr>
                <w:rFonts w:hint="eastAsia" w:ascii="宋体" w:hAnsi="宋体" w:eastAsia="宋体" w:cs="宋体"/>
                <w:color w:val="484747"/>
                <w:kern w:val="2"/>
                <w:sz w:val="21"/>
                <w:szCs w:val="21"/>
                <w:bdr w:val="none" w:color="auto" w:sz="0" w:space="0"/>
                <w:lang w:val="en-US" w:eastAsia="zh-CN" w:bidi="ar"/>
              </w:rPr>
              <w:t>六、“三公经费”增减变化情况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firstLineChars="200"/>
              <w:jc w:val="left"/>
            </w:pPr>
            <w:r>
              <w:rPr>
                <w:rFonts w:hint="eastAsia" w:ascii="宋体" w:hAnsi="宋体" w:eastAsia="宋体" w:cs="宋体"/>
                <w:color w:val="484747"/>
                <w:kern w:val="2"/>
                <w:sz w:val="21"/>
                <w:szCs w:val="21"/>
                <w:bdr w:val="none" w:color="auto" w:sz="0" w:space="0"/>
                <w:lang w:val="en-US" w:eastAsia="zh-CN" w:bidi="ar"/>
              </w:rPr>
              <w:t>我院严格《关于全市党政机关厉行勤俭节约反对铺张浪费的意见》和中纪委、省、市检察院有关文件精神，压缩各项开支。2014年公务用车购置及运行费80.3万元、2015年公务用车购置及运行费78.9万元；2014年接待费6363元、2015年接待费6230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firstLineChars="200"/>
              <w:jc w:val="left"/>
            </w:pPr>
            <w:r>
              <w:rPr>
                <w:rFonts w:hint="eastAsia" w:ascii="宋体" w:hAnsi="宋体" w:eastAsia="宋体" w:cs="宋体"/>
                <w:color w:val="484747"/>
                <w:kern w:val="2"/>
                <w:sz w:val="21"/>
                <w:szCs w:val="21"/>
                <w:bdr w:val="none" w:color="auto" w:sz="0" w:space="0"/>
                <w:lang w:val="en-US" w:eastAsia="zh-CN" w:bidi="ar"/>
              </w:rPr>
              <w:t>七、公务用车购置和运行费和已经细分为公务用车购置费和公务用车运行费。我院2015年未购置新车辆，保有量为14辆。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firstLineChars="200"/>
              <w:jc w:val="left"/>
            </w:pPr>
            <w:r>
              <w:rPr>
                <w:rFonts w:hint="eastAsia" w:ascii="宋体" w:hAnsi="宋体" w:eastAsia="宋体" w:cs="宋体"/>
                <w:color w:val="484747"/>
                <w:kern w:val="2"/>
                <w:sz w:val="21"/>
                <w:szCs w:val="21"/>
                <w:bdr w:val="none" w:color="auto" w:sz="0" w:space="0"/>
                <w:lang w:val="en-US" w:eastAsia="zh-CN" w:bidi="ar"/>
              </w:rPr>
              <w:t>八、我院无因公出国出境人员。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firstLineChars="200"/>
              <w:jc w:val="left"/>
            </w:pPr>
            <w:r>
              <w:rPr>
                <w:rFonts w:hint="eastAsia" w:ascii="宋体" w:hAnsi="宋体" w:eastAsia="宋体" w:cs="宋体"/>
                <w:color w:val="484747"/>
                <w:kern w:val="2"/>
                <w:sz w:val="21"/>
                <w:szCs w:val="21"/>
                <w:bdr w:val="none" w:color="auto" w:sz="0" w:space="0"/>
                <w:lang w:val="en-US" w:eastAsia="zh-CN" w:bidi="ar"/>
              </w:rPr>
              <w:t>九、我院接待5次70人。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firstLineChars="200"/>
              <w:jc w:val="left"/>
            </w:pPr>
            <w:r>
              <w:rPr>
                <w:rFonts w:hint="eastAsia" w:ascii="宋体" w:hAnsi="宋体" w:eastAsia="宋体" w:cs="宋体"/>
                <w:color w:val="484747"/>
                <w:kern w:val="2"/>
                <w:sz w:val="21"/>
                <w:szCs w:val="21"/>
                <w:bdr w:val="none" w:color="auto" w:sz="0" w:space="0"/>
                <w:lang w:val="en-US" w:eastAsia="zh-CN" w:bidi="ar"/>
              </w:rPr>
              <w:t>十、资产情况合计11327880.85元，包括：1.流动资产428652.81元２.固定资产10899228.04元，其中房屋2255248元、汽车2173792.04元、其他固定资产6470188元。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firstLineChars="200"/>
              <w:jc w:val="left"/>
            </w:pPr>
            <w:r>
              <w:rPr>
                <w:rFonts w:hint="eastAsia" w:ascii="宋体" w:hAnsi="宋体" w:eastAsia="宋体" w:cs="宋体"/>
                <w:color w:val="484747"/>
                <w:kern w:val="2"/>
                <w:sz w:val="21"/>
                <w:szCs w:val="21"/>
                <w:bdr w:val="none" w:color="auto" w:sz="0" w:space="0"/>
                <w:lang w:val="en-US" w:eastAsia="zh-CN" w:bidi="ar"/>
              </w:rPr>
              <w:t>十一、政府采购相关情况：我院按政府采购相关规定采购货物974950元。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420"/>
              <w:jc w:val="left"/>
            </w:pPr>
            <w:r>
              <w:rPr>
                <w:rFonts w:hint="eastAsia" w:ascii="宋体" w:hAnsi="宋体" w:eastAsia="宋体" w:cs="宋体"/>
                <w:color w:val="484747"/>
                <w:kern w:val="0"/>
                <w:sz w:val="21"/>
                <w:szCs w:val="21"/>
                <w:bdr w:val="none" w:color="auto" w:sz="0" w:space="0"/>
                <w:lang w:val="en-US" w:eastAsia="zh-CN" w:bidi="ar"/>
              </w:rPr>
              <w:t>我院为一般公共财政预算拨款，没有政府性基金预算财政拨款。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left"/>
            </w:pPr>
            <w:r>
              <w:rPr>
                <w:rFonts w:hint="eastAsia" w:ascii="宋体" w:hAnsi="宋体" w:eastAsia="宋体" w:cs="宋体"/>
                <w:b/>
                <w:color w:val="484747"/>
                <w:kern w:val="0"/>
                <w:sz w:val="21"/>
                <w:szCs w:val="21"/>
                <w:bdr w:val="none" w:color="auto" w:sz="0" w:space="0"/>
                <w:lang w:val="en-US" w:eastAsia="zh-CN" w:bidi="ar"/>
              </w:rPr>
              <w:t>第三部分　大厂回族自治县人民检察院2015年度部门决算表（详见附件）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484747"/>
                <w:kern w:val="2"/>
                <w:sz w:val="21"/>
                <w:szCs w:val="21"/>
                <w:bdr w:val="none" w:color="auto" w:sz="0" w:space="0"/>
                <w:lang w:val="en-US" w:eastAsia="zh-CN" w:bidi="ar"/>
              </w:rPr>
              <w:t>检察院-2015年决算公开表.xls</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5A866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4E4D4D"/>
      <w:u w:val="none"/>
    </w:rPr>
  </w:style>
  <w:style w:type="character" w:styleId="6">
    <w:name w:val="Hyperlink"/>
    <w:basedOn w:val="3"/>
    <w:uiPriority w:val="0"/>
    <w:rPr>
      <w:color w:val="4E4D4D"/>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2017-08-09T02:49:23Z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